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89 vom 17. November 2009</w:t>
      </w:r>
    </w:p>
    <w:p>
      <w:r>
        <w:t>GR Gerichte, 2009-11-17, DE</w:t>
      </w:r>
    </w:p>
    <w:p>
      <w:r>
        <w:rPr>
          <w:b/>
        </w:rPr>
        <w:t xml:space="preserve">Quelle: </w:t>
      </w:r>
      <w:r>
        <w:t>https://mcp.opencaselaw.ch/entscheid/gr_gerichte_U 2009 89</w:t>
      </w:r>
    </w:p>
    <w:p>
      <w:r>
        <w:t>FR: GR_GERICHTE U 2009 89 du 17 novembre 2009</w:t>
      </w:r>
    </w:p>
    <w:p>
      <w:r>
        <w:t>IT: GR_GERICHTE U 2009 89 del 17 novembre 2009</w:t>
      </w:r>
    </w:p>
    <w:p>
      <w:pPr>
        <w:pStyle w:val="Heading2"/>
      </w:pPr>
      <w:r>
        <w:t>Regeste</w:t>
      </w:r>
    </w:p>
    <w:p>
      <w:r>
        <w:t>Plakataushang | Bussverfügung (Hunde, Kehricht, etc.)</w:t>
      </w:r>
    </w:p>
    <w:p>
      <w:pPr>
        <w:pStyle w:val="Heading2"/>
      </w:pPr>
      <w:r>
        <w:t>Erwägungen</w:t>
      </w:r>
    </w:p>
    <w:p>
      <w:r>
        <w:rPr>
          <w:b/>
        </w:rPr>
        <w:t>E. 1</w:t>
      </w:r>
    </w:p>
    <w:p>
      <w:r>
        <w:t>Anlässlich der Volksabstimmung vom 29. November 2009 wird über die von der Bundesverfassung für gültig erklärte Initiative „Gegen den Bau von Minaretten“ abgestimmt. Danach soll Art. 72 der Bundesverfassung (BV) mit einem neuen Absatz 3 „Der Bau von Minaretten ist verboten.“ ergänzt werden. In diesem Zusammenhang hat die Schweizerische Volkspartei (SVP) ein Plakat erarbeiten lassen, welches schweizweit in der Presse und der Öffentlichkeit Anlass zu kontroversen Diskussionen gab, mit der Konsequenz, dass in der Folge einzelne Gemeinden und Städte das Anbringen und den Aushang des Plakates auf öffentlichem Grund untersagten. Die Stadt … hat der … (…) mit Vertrag vom 11. November 1997 bzw. mit Nachtrag vom 5. Februar 2008 das Alleinrecht übertragen, auf öffentlichen Grund Plakate anzubringen und die dazu notwendigen Werbeträger zu erstellen. Nach Art. 1 Abs. 1.5 (Restriktionen) des erwähnten Vertrages kann die Stadt den Aushang von Plakaten verbieten oder bereits ausgehängte Plakate entfernen lassen, sofern diese gegen strafrechtliche oder sittenpolizeiliche Bestimmungen oder gegen die öffentliche Ordnung verstossen. Gemäss Art. 13 Abs. 2 des städtischen Reklamereglementes sind Reklamen, deren Inhalt gegen Sitte und Anstand verstossen und insbesondere die menschliche Würde verletzen und herabsetzen, untersagt. Sie sind auf Anordnung des zuständigen Departementes zu entfernen.</w:t>
      </w:r>
    </w:p>
    <w:p>
      <w:r>
        <w:t>Am 30. September 2009 gelangte die … mit einer Anfrage an den Stadtrat, ob die Plakatkampagne der Befürworter der Initiative „Gegen den Bau von Minaretten“ in der Stadt … erfolgen könne. Anlässlich seiner Sitzung vom 12. Oktober 2009 befasste sich der Stadtrat mit dieser Anfrage, wobei er sich dabei auf die Frage der Vereinbarkeit des Plakates mit den erwähnten städtischen Rechtsgrundlagen beschränkte. Er sah dabei keinen Anlass, den Aushang des Plakates auf öffentlichem Grund verbieten und damit in den laufenden Abstimmungskampf einzugreifen. Dieser Beschluss wurde über die Medien auch der Öffentlichkeit bekannt gegeben.</w:t>
      </w:r>
    </w:p>
    <w:p>
      <w:r>
        <w:rPr>
          <w:b/>
        </w:rPr>
        <w:t>E. 2</w:t>
      </w:r>
    </w:p>
    <w:p>
      <w:r>
        <w:t>a) Am 13. Oktober 2009 erhob der in Zürich wohnhafte …, als Mitglied der israelitischen Kultusgemeinde Zürich und Mitglied der jüdischen Stimmen für gerechten Frieden zwischen Israel und Palästina, Schweiz, bei der Stadt … Einsprache. Dieses Plakat verletze eindeutig religiöse Gefühle und schüre gleichzeitig auch den Antiislamismus. Die Richter seien noch zu wenig sensibilisiert für dieses Phänomen, im Gegensatz zum Antisemitismus. Das zeige sich z.B. auch in Gesetzesinitiativen wie etwa zur weiblichen Genitalverstümmelung, bei der überhaupt nicht zwischen dem Gewaltakt der Verstümmelung und symbolischen Formen der Beschneidung, wie sie etwa im Judentum praktiziert würden, unterschieden werde. Oder bei der nicht nur in Frankreich, sondern auch in der Schweiz lancierten Diskussion um ein Burkha-Verbot. Wenn nun in einer eventuellen nächsten Abstimmung über das Schächtverbot abgestimmt werden müsste und ein Plakat in ähnlichem Stil entworfen würde, dann müsste dies auch erlaubt sein, zumal nicht mit zweierlei Mass gemessen werden dürfe. Er sei aber überzeugt, dass die Richter ein solches Plakat eindeutig als antisemitisch werten und verbieten würden. Aus Gründen der Rechtsgleichheit müsse daher auch das vorliegende Plakat verboten werden. Die Eidgenössische Kommission gegen Rassismus (EKR) habe zwar in ihrem Bericht vom 6. Oktober 2009 festgehalten, dass dieses und ähnliche Plakate strafrechtlich gemäss Art. 261bis StGB nicht verboten seien. Allerdings fehle in der Schweiz bis heute ein zivilgesetzliches Diskriminierungsverbot, das in Fällen wie dem vorliegenden greifen könnte. Er wolle nun mit seiner Einsprache ein zivilgesetzliches Diskriminierungsverbot durchsetzen und hierzu einen Präzedenzfall schaffen.</w:t>
      </w:r>
    </w:p>
    <w:p>
      <w:r>
        <w:t>Das bundesgerichtliche Urteil 6B.664/2008 vom 27. April 2009 sei hier nicht einschlägig, da das Plakat mit den Raketen für die allgemeine Bevölkerung eine unberechtigte Bedrohung bedeute und so die antiislamische Haltung schüre. Gleichentags verlangte … in einer als Nachtrag zu seiner Einsprache bezeichneten Eingabe die sofortige Aufschiebung des Plakataushanges bis zum richterlichen Entscheid. b) Die Stadt … überwies seine „Einsprache“ am 20. Oktober 2009 zur Behandlung an das Verwaltungsgericht, welches dem Beschwerdeführer gleichentags Frist bis zum 30. Oktober 2009 ansetzte, zwecks Ergänzung seiner Eingabe, insbesondere hinsichtlich der Frage der Beschwerdelegitimation sowie der Zuständigkeit des Verwaltungsgerichtes. c) In einem ersten Schreiben vom 24. Oktober 2009 verzichtete der Beschwerdeführer auf eine entsprechende Ergänzung. d) In einer weiteren Eingabe vom 28. Oktober 2009 erachtete er Art. 50 des Gesetzes über die Verwaltungsrechtspflege (VRG), welcher die legitimationsrechtlichen Voraussetzungen für eine Beschwerdeerhebung umschreibt, als aufgehoben, da ein Vergehen gegen das Antirassismusgesetz vorliege.</w:t>
      </w:r>
    </w:p>
    <w:p>
      <w:r>
        <w:rPr>
          <w:b/>
        </w:rPr>
        <w:t>E. 3</w:t>
      </w:r>
    </w:p>
    <w:p>
      <w:r>
        <w:t>Vorliegend ist nun nicht ersichtlich, dass der Beschwerdeführer aufgrund einer besonderen Vorschrift zur Beschwerdeführung ermächtigt wäre, und es wird von dem Beschwerdeführer auch nichts dargetan, inwiefern er als in Zürich wohnhafte Person durch den auf öffentlichem Grund in … vorgesehenen Plakataushang stärker betroffen sein könnte als jedermann. Mit den von ihm vorgebrachten Überlegungen (u.a. Verletzung religiöser Gefühle Dritter; Schüren einer gegen den Islam gerichteten Einstellung in der Bevölkerung) beruft er sich denn auch offenkundig nicht auf eigene, persönliche Interessen, sondern bringt vielmehr Interessen Dritter bzw. allfällige ungünstige Folgen des Aushangs für dieselben vor, was in Lichte von Art. 50 VRG betrachtet, nicht zulässig ist. Dass seine eigene Position durch den Ausgang dieses Verfahrens unmittelbar beeinflusst werden könnte, ist nicht ersichtlich und wird von ihm auch nicht dargetan. Ebenso wenig zeigt er auch nur im Ansatz auf, welcher unmittelbare Nachteil mit der Beschwerde von ihm abgewendet werden könnte. Entsteht ihm aber durch die angefochtene Feststellungsverfügung kein unmittelbarer Nachteil, der im Lichte der umschriebenen Rechtsprechung schutzwürdig erscheint, ist ihm die</w:t>
      </w:r>
    </w:p>
    <w:p>
      <w:r>
        <w:t>Legitimation zur Beschwerdeführung als Drittperson abzusprechen. - Auf die Beschwerde kann daher nicht eingetreten werden.</w:t>
      </w:r>
    </w:p>
    <w:p>
      <w:r>
        <w:rPr>
          <w:b/>
        </w:rPr>
        <w:t>E. 4</w:t>
      </w:r>
    </w:p>
    <w:p>
      <w:r>
        <w:t>Bei diesem Ausgang gehen die Verfahrenskosten zulasten des Beschwerdeführers. Von der Zusprechung einer Parteientschädigung an die Beschwerdegegnerin 1 kann abgesehen werden, weil sie in ihrem amtlichen Wirkungskreis obsiegt hat. Demnach erkennt das Gericht: 1. Auf die Beschwerde wird nicht eingetreten. 2. Die Gerichtskosten, bestehend - aus einer Staatsgebühr von Fr. 200.-- - und den Kanzleiauslagen von Fr. 219.-- zusammen Fr. 419.--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